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黑体"/>
          <w:b/>
          <w:sz w:val="40"/>
        </w:rPr>
        <w:t>XX支行2026年6月月度经营例会</w:t>
      </w:r>
    </w:p>
    <w:p>
      <w:pPr>
        <w:jc w:val="center"/>
      </w:pPr>
      <w:r>
        <w:rPr>
          <w:rFonts w:ascii="Times New Roman" w:hAnsi="Times New Roman" w:eastAsia="黑体"/>
          <w:b/>
          <w:sz w:val="32"/>
        </w:rPr>
        <w:t>会议纪要</w:t>
      </w:r>
    </w:p>
    <w:p>
      <w:pPr>
        <w:jc w:val="center"/>
      </w:pPr>
      <w:r>
        <w:rPr>
          <w:rFonts w:ascii="Times New Roman" w:hAnsi="Times New Roman" w:eastAsia="宋体"/>
          <w:b w:val="0"/>
          <w:sz w:val="22"/>
        </w:rPr>
        <w:t>（2026年6月30日）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4536"/>
            <w:shd w:val="clear" w:color="auto" w:fill="D9E2F3"/>
          </w:tcPr>
          <w:p>
            <w:r/>
            <w:r>
              <w:rPr>
                <w:rFonts w:ascii="Times New Roman" w:hAnsi="Times New Roman" w:eastAsia="宋体"/>
                <w:b/>
                <w:sz w:val="24"/>
              </w:rPr>
              <w:t>项 目</w:t>
            </w:r>
          </w:p>
        </w:tc>
        <w:tc>
          <w:tcPr>
            <w:tcW w:type="dxa" w:w="4536"/>
            <w:shd w:val="clear" w:color="auto" w:fill="D9E2F3"/>
          </w:tcPr>
          <w:p>
            <w:r/>
            <w:r>
              <w:rPr>
                <w:rFonts w:ascii="Times New Roman" w:hAnsi="Times New Roman" w:eastAsia="宋体"/>
                <w:b/>
                <w:sz w:val="24"/>
              </w:rPr>
              <w:t>内 容</w:t>
            </w:r>
          </w:p>
        </w:tc>
      </w:tr>
      <w:tr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会议名称</w:t>
            </w:r>
          </w:p>
        </w:tc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XX支行2026年6月月度经营例会</w:t>
            </w:r>
          </w:p>
        </w:tc>
      </w:tr>
      <w:tr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会议时间</w:t>
            </w:r>
          </w:p>
        </w:tc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2026年6月30日（周二）14:30—15:50</w:t>
            </w:r>
          </w:p>
        </w:tc>
      </w:tr>
      <w:tr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会议地点</w:t>
            </w:r>
          </w:p>
        </w:tc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支行三楼会议室</w:t>
            </w:r>
          </w:p>
        </w:tc>
      </w:tr>
      <w:tr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主持人</w:t>
            </w:r>
          </w:p>
        </w:tc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王行长（支行行长）</w:t>
            </w:r>
          </w:p>
        </w:tc>
      </w:tr>
      <w:tr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出席人员</w:t>
            </w:r>
          </w:p>
        </w:tc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王行长、李主管、张主管、刘主管、陈主管、王主管（6人全员到会）</w:t>
            </w:r>
          </w:p>
        </w:tc>
      </w:tr>
      <w:tr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记录人</w:t>
            </w:r>
          </w:p>
        </w:tc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王主管（综合岗）</w:t>
            </w:r>
          </w:p>
        </w:tc>
      </w:tr>
      <w:tr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会议性质</w:t>
            </w:r>
          </w:p>
        </w:tc>
        <w:tc>
          <w:tcPr>
            <w:tcW w:type="dxa" w:w="4536"/>
          </w:tcPr>
          <w:p>
            <w:r/>
            <w:r>
              <w:rPr>
                <w:rFonts w:ascii="Times New Roman" w:hAnsi="Times New Roman" w:eastAsia="宋体"/>
                <w:sz w:val="24"/>
              </w:rPr>
              <w:t>月度经营例会 + 2026年三季度"开门红"启动部署</w:t>
            </w:r>
          </w:p>
        </w:tc>
      </w:tr>
    </w:tbl>
    <w:p>
      <w:pPr>
        <w:jc w:val="left"/>
      </w:pPr>
      <w:r>
        <w:rPr>
          <w:rFonts w:ascii="Times New Roman" w:hAnsi="Times New Roman" w:eastAsia="宋体"/>
          <w:b w:val="0"/>
          <w:sz w:val="24"/>
        </w:rPr>
      </w:r>
    </w:p>
    <w:p>
      <w:pPr>
        <w:jc w:val="left"/>
      </w:pPr>
      <w:r>
        <w:rPr>
          <w:rFonts w:ascii="Times New Roman" w:hAnsi="Times New Roman" w:eastAsia="宋体"/>
          <w:b/>
          <w:sz w:val="28"/>
        </w:rPr>
        <w:t>一、会议概况</w:t>
      </w:r>
    </w:p>
    <w:p>
      <w:pPr>
        <w:spacing w:line="360" w:lineRule="auto"/>
        <w:ind w:firstLine="480"/>
        <w:jc w:val="left"/>
      </w:pPr>
      <w:r>
        <w:rPr>
          <w:rFonts w:ascii="Times New Roman" w:hAnsi="Times New Roman" w:eastAsia="宋体"/>
          <w:b w:val="0"/>
          <w:sz w:val="24"/>
        </w:rPr>
        <w:t>本次会议为支行半年度收官会议，主要议程包括：通报6月经营数据与重点项目进展、复盘客户投诉与流程问题、部署2026年三季度"开门红"经营目标与启动安排。会议由王行长行长主持，各业务条线主管及关键岗位人员全员参加，会上围绕存款、中收、信用卡、对公服务、代发深耕、数字人民币等议题进行了充分讨论，并就三季度三大目标形成决议。</w:t>
      </w:r>
    </w:p>
    <w:p>
      <w:pPr>
        <w:jc w:val="left"/>
      </w:pPr>
      <w:r>
        <w:rPr>
          <w:rFonts w:ascii="Times New Roman" w:hAnsi="Times New Roman" w:eastAsia="宋体"/>
          <w:b/>
          <w:sz w:val="28"/>
        </w:rPr>
        <w:t>二、6月经营情况通报</w:t>
      </w:r>
    </w:p>
    <w:p>
      <w:pPr>
        <w:jc w:val="left"/>
      </w:pPr>
      <w:r>
        <w:rPr>
          <w:rFonts w:ascii="Times New Roman" w:hAnsi="Times New Roman" w:eastAsia="宋体"/>
          <w:b/>
          <w:sz w:val="24"/>
        </w:rPr>
        <w:t>（一）主要经营数据</w:t>
      </w:r>
    </w:p>
    <w:p>
      <w:pPr>
        <w:spacing w:line="360" w:lineRule="auto"/>
        <w:ind w:firstLine="480"/>
        <w:jc w:val="left"/>
      </w:pPr>
      <w:r>
        <w:rPr>
          <w:rFonts w:ascii="Times New Roman" w:hAnsi="Times New Roman" w:eastAsia="宋体"/>
          <w:b w:val="0"/>
          <w:sz w:val="24"/>
        </w:rPr>
        <w:t>由综合岗王主管通报截至6月30日的全行经营数据：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24"/>
        <w:gridCol w:w="3024"/>
        <w:gridCol w:w="3024"/>
      </w:tblGrid>
      <w:tr>
        <w:tc>
          <w:tcPr>
            <w:tcW w:type="dxa" w:w="3024"/>
            <w:shd w:val="clear" w:color="auto" w:fill="D9E2F3"/>
          </w:tcPr>
          <w:p>
            <w:r/>
            <w:r>
              <w:rPr>
                <w:rFonts w:ascii="Times New Roman" w:hAnsi="Times New Roman" w:eastAsia="宋体"/>
                <w:b/>
                <w:sz w:val="24"/>
              </w:rPr>
              <w:t>指标</w:t>
            </w:r>
          </w:p>
        </w:tc>
        <w:tc>
          <w:tcPr>
            <w:tcW w:type="dxa" w:w="3024"/>
            <w:shd w:val="clear" w:color="auto" w:fill="D9E2F3"/>
          </w:tcPr>
          <w:p>
            <w:r/>
            <w:r>
              <w:rPr>
                <w:rFonts w:ascii="Times New Roman" w:hAnsi="Times New Roman" w:eastAsia="宋体"/>
                <w:b/>
                <w:sz w:val="24"/>
              </w:rPr>
              <w:t>本月结果</w:t>
            </w:r>
          </w:p>
        </w:tc>
        <w:tc>
          <w:tcPr>
            <w:tcW w:type="dxa" w:w="3024"/>
            <w:shd w:val="clear" w:color="auto" w:fill="D9E2F3"/>
          </w:tcPr>
          <w:p>
            <w:r/>
            <w:r>
              <w:rPr>
                <w:rFonts w:ascii="Times New Roman" w:hAnsi="Times New Roman" w:eastAsia="宋体"/>
                <w:b/>
                <w:sz w:val="24"/>
              </w:rPr>
              <w:t>备 注</w:t>
            </w:r>
          </w:p>
        </w:tc>
      </w:tr>
      <w:tr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存款月末余额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15.878 亿元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较月初微降约 1,400 万元</w:t>
            </w:r>
          </w:p>
        </w:tc>
      </w:tr>
      <w:tr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其中：对公存款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—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受某代发企业季末归集 2,500 万元影响</w:t>
            </w:r>
          </w:p>
        </w:tc>
      </w:tr>
      <w:tr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其中：个人存款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净增 5,000+ 万元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全行核心增长亮点</w:t>
            </w:r>
          </w:p>
        </w:tc>
      </w:tr>
      <w:tr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贷款余额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11.15 亿元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—</w:t>
            </w:r>
          </w:p>
        </w:tc>
      </w:tr>
      <w:tr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不良率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0.64%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在可控区间</w:t>
            </w:r>
          </w:p>
        </w:tc>
      </w:tr>
      <w:tr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中间业务收入（中收）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157 万元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本月已达标</w:t>
            </w:r>
          </w:p>
        </w:tc>
      </w:tr>
      <w:tr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数字人民币钱包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98 个</w:t>
            </w:r>
          </w:p>
        </w:tc>
        <w:tc>
          <w:tcPr>
            <w:tcW w:type="dxa" w:w="3024"/>
          </w:tcPr>
          <w:p>
            <w:r/>
            <w:r>
              <w:rPr>
                <w:rFonts w:ascii="Times New Roman" w:hAnsi="Times New Roman" w:eastAsia="宋体"/>
                <w:sz w:val="24"/>
              </w:rPr>
              <w:t>认知度低，推广效率有待提升</w:t>
            </w:r>
          </w:p>
        </w:tc>
      </w:tr>
    </w:tbl>
    <w:p>
      <w:pPr>
        <w:spacing w:line="360" w:lineRule="auto"/>
        <w:ind w:firstLine="480"/>
        <w:jc w:val="left"/>
      </w:pPr>
      <w:r>
        <w:rPr>
          <w:rFonts w:ascii="Times New Roman" w:hAnsi="Times New Roman" w:eastAsia="宋体"/>
          <w:b w:val="0"/>
          <w:sz w:val="24"/>
        </w:rPr>
        <w:t>行长点评：6月成绩整体可控，个金与中收表现突出；对公短期受某代发企业季末归集节奏影响，属正常现象，关键在于下半年能否推动资金回流。</w:t>
      </w:r>
    </w:p>
    <w:p>
      <w:pPr>
        <w:jc w:val="left"/>
      </w:pPr>
      <w:r>
        <w:rPr>
          <w:rFonts w:ascii="Times New Roman" w:hAnsi="Times New Roman" w:eastAsia="宋体"/>
          <w:b/>
          <w:sz w:val="28"/>
        </w:rPr>
        <w:t>三、各条线工作汇报</w:t>
      </w:r>
    </w:p>
    <w:p>
      <w:pPr>
        <w:jc w:val="left"/>
      </w:pPr>
      <w:r>
        <w:rPr>
          <w:rFonts w:ascii="Times New Roman" w:hAnsi="Times New Roman" w:eastAsia="宋体"/>
          <w:b/>
          <w:sz w:val="24"/>
        </w:rPr>
        <w:t>（一）个人金融条线（李主管）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6月12日大额存单理财沙龙：到访38位贵宾客户，当场落存 1,800+ 万元，是本月最亮眼的个金项目。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借记卡发卡：超额完成，主要依托端午社区活动与进厂批量办卡。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信用卡发卡：342 张 / 目标 500 张，未完成，核心瓶颈为审批通过率偏低。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睡眠卡问题：某代发企业批量开卡 268 张，户均余额极低，多数为空卡，亟需开展激活专项营销。</w:t>
      </w:r>
    </w:p>
    <w:p>
      <w:pPr>
        <w:jc w:val="left"/>
      </w:pPr>
      <w:r>
        <w:rPr>
          <w:rFonts w:ascii="Times New Roman" w:hAnsi="Times New Roman" w:eastAsia="宋体"/>
          <w:b/>
          <w:sz w:val="24"/>
        </w:rPr>
        <w:t>（二）运营条线（刘主管）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排队投诉处理：增开弹性窗口后，客户平均等候时间由 15 分钟降至 11 分 30 秒，改善明显。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对公开户投诉：客户因资料未一次性告知而往返三趟，反映流程衔接存在明显缺陷，需立即整改。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信用卡年费"12378"监管转办投诉：已减免年费并完成客户回访，需借此推动全网点话术统一培训。</w:t>
      </w:r>
    </w:p>
    <w:p>
      <w:pPr>
        <w:jc w:val="left"/>
      </w:pPr>
      <w:r>
        <w:rPr>
          <w:rFonts w:ascii="Times New Roman" w:hAnsi="Times New Roman" w:eastAsia="宋体"/>
          <w:b/>
          <w:sz w:val="24"/>
        </w:rPr>
        <w:t>（三）公司业务条线（张主管）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某代发企业 2,500 万元属季末归集惯例，资金主体仍在集团账户，具备回流条件。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拟于本周内拜访某代发企业财务总监，重点推动资金回流并就代发业务做深做透。</w:t>
      </w:r>
    </w:p>
    <w:p>
      <w:pPr>
        <w:jc w:val="left"/>
      </w:pPr>
      <w:r>
        <w:rPr>
          <w:rFonts w:ascii="Times New Roman" w:hAnsi="Times New Roman" w:eastAsia="宋体"/>
          <w:b/>
          <w:sz w:val="24"/>
        </w:rPr>
        <w:t>（四）大堂条线（陈主管）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大堂岗位同步纳入信用卡合规话术、一次性告知等培训，做到全员覆盖、不留死角。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对睡眠卡激活、对公开户一次性告知等任务，将在大堂环节主动做好客户告知与首问负责。</w:t>
      </w:r>
    </w:p>
    <w:p>
      <w:pPr>
        <w:jc w:val="left"/>
      </w:pPr>
      <w:r>
        <w:rPr>
          <w:rFonts w:ascii="Times New Roman" w:hAnsi="Times New Roman" w:eastAsia="宋体"/>
          <w:b/>
          <w:sz w:val="28"/>
        </w:rPr>
        <w:t>四、下半年"开门红"重点工作部署</w:t>
      </w:r>
    </w:p>
    <w:p>
      <w:pPr>
        <w:spacing w:line="360" w:lineRule="auto"/>
        <w:ind w:firstLine="480"/>
        <w:jc w:val="left"/>
      </w:pPr>
      <w:r>
        <w:rPr>
          <w:rFonts w:ascii="Times New Roman" w:hAnsi="Times New Roman" w:eastAsia="宋体"/>
          <w:b w:val="0"/>
          <w:sz w:val="24"/>
        </w:rPr>
        <w:t>行长明确三季度"开门红"三大硬目标，7月1日起正式进入作战周期：</w:t>
      </w:r>
    </w:p>
    <w:p>
      <w:pPr>
        <w:pStyle w:val="ListNumber"/>
      </w:pPr>
      <w:r>
        <w:rPr>
          <w:rFonts w:ascii="Times New Roman" w:hAnsi="Times New Roman" w:eastAsia="宋体"/>
          <w:sz w:val="24"/>
        </w:rPr>
        <w:t>目标一：三季度个人存款净增 1 亿元（硬任务）。</w:t>
      </w:r>
    </w:p>
    <w:p>
      <w:pPr>
        <w:pStyle w:val="ListNumber"/>
      </w:pPr>
      <w:r>
        <w:rPr>
          <w:rFonts w:ascii="Times New Roman" w:hAnsi="Times New Roman" w:eastAsia="宋体"/>
          <w:sz w:val="24"/>
        </w:rPr>
        <w:t>目标二：中高端客户（AUM 50 万元以上）净增 150 户。</w:t>
      </w:r>
    </w:p>
    <w:p>
      <w:pPr>
        <w:pStyle w:val="ListNumber"/>
      </w:pPr>
      <w:r>
        <w:rPr>
          <w:rFonts w:ascii="Times New Roman" w:hAnsi="Times New Roman" w:eastAsia="宋体"/>
          <w:sz w:val="24"/>
        </w:rPr>
        <w:t>目标三：代发业务新拓 3 家代发企业（某代发企业深耕 + 新户开发并举）。</w:t>
      </w:r>
    </w:p>
    <w:p>
      <w:pPr>
        <w:spacing w:line="360" w:lineRule="auto"/>
        <w:ind w:firstLine="480"/>
        <w:jc w:val="left"/>
      </w:pPr>
      <w:r>
        <w:rPr>
          <w:rFonts w:ascii="Times New Roman" w:hAnsi="Times New Roman" w:eastAsia="宋体"/>
          <w:b w:val="0"/>
          <w:sz w:val="24"/>
        </w:rPr>
        <w:t>配套要求：个金条线与公司条线需将三大目标拆解到人、到月，形成开门红作战方案；综合岗牵头筹办"开门红"启动会，由行长在启动会上做动员讲话。</w:t>
      </w:r>
    </w:p>
    <w:p>
      <w:pPr>
        <w:jc w:val="left"/>
      </w:pPr>
      <w:r>
        <w:rPr>
          <w:rFonts w:ascii="Times New Roman" w:hAnsi="Times New Roman" w:eastAsia="宋体"/>
          <w:b/>
          <w:sz w:val="24"/>
        </w:rPr>
        <w:t>（一）个金板块要求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信用卡通过率问题：会后形成专项报告报行长，并争取分行专项支持。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睡眠卡激活方案：7 月 10 日前提交。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数字人民币推广：寻找代发或商圈场景切入，避免地毯式硬推，下月例会汇报思路即可。</w:t>
      </w:r>
    </w:p>
    <w:p>
      <w:pPr>
        <w:jc w:val="left"/>
      </w:pPr>
      <w:r>
        <w:rPr>
          <w:rFonts w:ascii="Times New Roman" w:hAnsi="Times New Roman" w:eastAsia="宋体"/>
          <w:b/>
          <w:sz w:val="24"/>
        </w:rPr>
        <w:t>（二）运营板块要求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牵头制定《对公开户一次性告知清单》：明确所需材料清单与办理流程，7 月 15 日前完成，杜绝客户多次往返。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信用卡合规话术：与个金条线联合组织全员（含大堂）统一培训，重点针对监管转办类敏感投诉的应对口径。</w:t>
      </w:r>
    </w:p>
    <w:p>
      <w:pPr>
        <w:jc w:val="left"/>
      </w:pPr>
      <w:r>
        <w:rPr>
          <w:rFonts w:ascii="Times New Roman" w:hAnsi="Times New Roman" w:eastAsia="宋体"/>
          <w:b/>
          <w:sz w:val="24"/>
        </w:rPr>
        <w:t>（三）公司板块要求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本周内完成某代发企业财务总监拜访，汇报回流成果及代发深耕方案。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为三季度新拓 3 家代发企业的目标做好客户储备与方案设计。</w:t>
      </w:r>
    </w:p>
    <w:p>
      <w:pPr>
        <w:jc w:val="left"/>
      </w:pPr>
      <w:r>
        <w:rPr>
          <w:rFonts w:ascii="Times New Roman" w:hAnsi="Times New Roman" w:eastAsia="宋体"/>
          <w:b/>
          <w:sz w:val="28"/>
        </w:rPr>
        <w:t>五、议定事项与待办清单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814"/>
        <w:gridCol w:w="1814"/>
        <w:gridCol w:w="1814"/>
        <w:gridCol w:w="1814"/>
        <w:gridCol w:w="1814"/>
      </w:tblGrid>
      <w:tr>
        <w:tc>
          <w:tcPr>
            <w:tcW w:type="dxa" w:w="1814"/>
            <w:shd w:val="clear" w:color="auto" w:fill="D9E2F3"/>
          </w:tcPr>
          <w:p>
            <w:r/>
            <w:r>
              <w:rPr>
                <w:rFonts w:ascii="Times New Roman" w:hAnsi="Times New Roman" w:eastAsia="宋体"/>
                <w:b/>
                <w:sz w:val="24"/>
              </w:rPr>
              <w:t>序号</w:t>
            </w:r>
          </w:p>
        </w:tc>
        <w:tc>
          <w:tcPr>
            <w:tcW w:type="dxa" w:w="1814"/>
            <w:shd w:val="clear" w:color="auto" w:fill="D9E2F3"/>
          </w:tcPr>
          <w:p>
            <w:r/>
            <w:r>
              <w:rPr>
                <w:rFonts w:ascii="Times New Roman" w:hAnsi="Times New Roman" w:eastAsia="宋体"/>
                <w:b/>
                <w:sz w:val="24"/>
              </w:rPr>
              <w:t>事项</w:t>
            </w:r>
          </w:p>
        </w:tc>
        <w:tc>
          <w:tcPr>
            <w:tcW w:type="dxa" w:w="1814"/>
            <w:shd w:val="clear" w:color="auto" w:fill="D9E2F3"/>
          </w:tcPr>
          <w:p>
            <w:r/>
            <w:r>
              <w:rPr>
                <w:rFonts w:ascii="Times New Roman" w:hAnsi="Times New Roman" w:eastAsia="宋体"/>
                <w:b/>
                <w:sz w:val="24"/>
              </w:rPr>
              <w:t>负责人</w:t>
            </w:r>
          </w:p>
        </w:tc>
        <w:tc>
          <w:tcPr>
            <w:tcW w:type="dxa" w:w="1814"/>
            <w:shd w:val="clear" w:color="auto" w:fill="D9E2F3"/>
          </w:tcPr>
          <w:p>
            <w:r/>
            <w:r>
              <w:rPr>
                <w:rFonts w:ascii="Times New Roman" w:hAnsi="Times New Roman" w:eastAsia="宋体"/>
                <w:b/>
                <w:sz w:val="24"/>
              </w:rPr>
              <w:t>完成时限</w:t>
            </w:r>
          </w:p>
        </w:tc>
        <w:tc>
          <w:tcPr>
            <w:tcW w:type="dxa" w:w="1814"/>
            <w:shd w:val="clear" w:color="auto" w:fill="D9E2F3"/>
          </w:tcPr>
          <w:p>
            <w:r/>
            <w:r>
              <w:rPr>
                <w:rFonts w:ascii="Times New Roman" w:hAnsi="Times New Roman" w:eastAsia="宋体"/>
                <w:b/>
                <w:sz w:val="24"/>
              </w:rPr>
              <w:t>交付物 / 验收标准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1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睡眠卡激活专项方案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李主管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2026-07-10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形成可执行的激活营销方案，含目标客户清单、话术、激励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2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对公开户一次性告知清单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刘主管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2026-07-15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清单覆盖全部常见对公业务类型，张贴于柜台与对外公示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3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信用卡审批通过率专项报告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李主管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会后一周内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分析通过率偏低根因，提出分行联动支持请求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4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信用卡合规话术全员培训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李主管、刘主管（含大堂）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三季度开门红启动前完成首轮培训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覆盖全员，参训签到 + 考核记录留档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5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某代发企业财务总监拜访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张主管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2026-07-03（本周内）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回流金额 + 代发深耕方案书面汇报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6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三季度开门红作战方案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李主管、张主管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2026-07-06（周一）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三大目标拆解到人/到月，含保障措施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7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三季度开门红启动会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王主管（筹办）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2026-07-06（周一上午）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全员参加，行长做动员讲话</w:t>
            </w:r>
          </w:p>
        </w:tc>
      </w:tr>
      <w:tr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8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数字人民币推广思路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李主管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2026-07 月度例会</w:t>
            </w:r>
          </w:p>
        </w:tc>
        <w:tc>
          <w:tcPr>
            <w:tcW w:type="dxa" w:w="1814"/>
          </w:tcPr>
          <w:p>
            <w:r/>
            <w:r>
              <w:rPr>
                <w:rFonts w:ascii="Times New Roman" w:hAnsi="Times New Roman" w:eastAsia="宋体"/>
                <w:sz w:val="24"/>
              </w:rPr>
              <w:t>代发 / 商圈场景切入点与试点方案</w:t>
            </w:r>
          </w:p>
        </w:tc>
      </w:tr>
    </w:tbl>
    <w:p>
      <w:pPr>
        <w:jc w:val="left"/>
      </w:pPr>
      <w:r>
        <w:rPr>
          <w:rFonts w:ascii="Times New Roman" w:hAnsi="Times New Roman" w:eastAsia="宋体"/>
          <w:b/>
          <w:sz w:val="28"/>
        </w:rPr>
        <w:t>六、其他事项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对公开户一次性告知问题被行长明确为最重视的体验类问题，要求运营条线优先整改，对客户体验类问题零容忍。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数字人民币作为趋势性产品，长期坚持但短期不硬性考核指标，以场景化推广为主。</w:t>
      </w:r>
    </w:p>
    <w:p>
      <w:pPr>
        <w:pStyle w:val="ListBullet"/>
      </w:pPr>
      <w:r>
        <w:rPr>
          <w:rFonts w:ascii="Times New Roman" w:hAnsi="Times New Roman" w:eastAsia="宋体"/>
          <w:sz w:val="24"/>
        </w:rPr>
        <w:t>会议明确：7 月 6 日上午召开三季度"开门红"启动会，本周内各条线进入冲刺状态。</w:t>
      </w:r>
    </w:p>
    <w:p>
      <w:pPr>
        <w:jc w:val="left"/>
      </w:pPr>
      <w:r>
        <w:rPr>
          <w:rFonts w:ascii="Times New Roman" w:hAnsi="Times New Roman" w:eastAsia="宋体"/>
          <w:b w:val="0"/>
          <w:sz w:val="24"/>
        </w:rPr>
      </w:r>
    </w:p>
    <w:p>
      <w:pPr>
        <w:jc w:val="left"/>
      </w:pPr>
      <w:r>
        <w:rPr>
          <w:rFonts w:ascii="Times New Roman" w:hAnsi="Times New Roman" w:eastAsia="宋体"/>
          <w:b w:val="0"/>
          <w:sz w:val="24"/>
        </w:rPr>
      </w:r>
    </w:p>
    <w:p>
      <w:pPr>
        <w:jc w:val="right"/>
      </w:pPr>
      <w:r>
        <w:rPr>
          <w:rFonts w:ascii="Times New Roman" w:hAnsi="Times New Roman" w:eastAsia="宋体"/>
          <w:b w:val="0"/>
          <w:sz w:val="22"/>
        </w:rPr>
        <w:t>记录人：王主管（综合岗）</w:t>
      </w:r>
    </w:p>
    <w:p>
      <w:pPr>
        <w:jc w:val="right"/>
      </w:pPr>
      <w:r>
        <w:rPr>
          <w:rFonts w:ascii="Times New Roman" w:hAnsi="Times New Roman" w:eastAsia="宋体"/>
          <w:b w:val="0"/>
          <w:sz w:val="22"/>
        </w:rPr>
        <w:t>审定：王行长（支行行长）</w:t>
      </w:r>
    </w:p>
    <w:p>
      <w:pPr>
        <w:jc w:val="right"/>
      </w:pPr>
      <w:r>
        <w:rPr>
          <w:rFonts w:ascii="Times New Roman" w:hAnsi="Times New Roman" w:eastAsia="宋体"/>
          <w:b w:val="0"/>
          <w:sz w:val="22"/>
        </w:rPr>
        <w:t>签发日期：2026 年 6 月 30 日</w:t>
      </w:r>
    </w:p>
    <w:sectPr w:rsidR="00FC693F" w:rsidRPr="0006063C" w:rsidSect="00034616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20"/>
        <w:rFonts w:eastAsia="宋体"/>
      </w:rPr>
      <w:t xml:space="preserve">第 </w:t>
    </w:r>
    <w:r>
      <w:fldChar w:fldCharType="begin"/>
      <w:instrText xml:space="preserve">PAGE</w:instrText>
      <w:fldChar w:fldCharType="end"/>
    </w:r>
    <w:r>
      <w:rPr>
        <w:sz w:val="20"/>
        <w:rFonts w:eastAsia="宋体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